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BbgSchGG (Brandenburg) — Beweiserhebung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Zeugen und Sachverständige, die freiwillig erschienen sind, können gehört werden. Mit Zustimmung und in Anwesenheit der Parteien kann auch der Augenschein eingenommen werden. Vorgelegte Urkunden können berücksichtigt werden.</w:t>
      </w:r>
    </w:p>
    <w:p>
      <w:r>
        <w:t xml:space="preserve">(2) Zur Beeidigung von Zeugen und Sachverständigen, zur eidlichen Parteivernehmung sowie zur Entgegennahme von eidesstattlichen Versicherungen ist die Schiedsperson nicht befugt.</w:t>
      </w:r>
    </w:p>
    <w:p>
      <w:r>
        <w:t xml:space="preserve">(3) Eine Entschädigung von Zeugen und Sachverständigen findet nicht statt.</w:t>
      </w:r>
    </w:p>
    <w:p>
      <w:r>
        <w:rPr>
          <w:color w:val="555555"/>
          <w:sz w:val="17"/>
        </w:rPr>
        <w:t xml:space="preserve">Zitiervorschlag: § 22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