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BbgSchGG (Brandenburg) — Verhandlungsgrundsätze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Schlichtungsverhandlung vor der Schiedsstelle ist nicht öffentlich. Mit Zustimmung der Parteien kann die Schiedsperson Dritten die Anwesenheit gestatten.</w:t>
      </w:r>
    </w:p>
    <w:p>
      <w:r>
        <w:t xml:space="preserve">(2) Vor der Schiedsstelle wird mündlich verhandelt. Die Verhandlung ist möglichst ohne Unterbrechung zu Ende zu führen. Wird die Verhandlung unterbrochen, ist sofort ein Termin zur Fortsetzung der Verhandlung zu bestimmen.</w:t>
      </w:r>
    </w:p>
    <w:p>
      <w:r>
        <w:t xml:space="preserve">(3) Die Schiedsperson erörtert mit den Parteien die Streitsache und deren Vorstellungen von einer einvernehmlichen Beilegung des Konflikts. Sie kann ihnen eigene Vergleichsvorschläge unterbreiten.</w:t>
      </w:r>
    </w:p>
    <w:p>
      <w:r>
        <w:rPr>
          <w:color w:val="555555"/>
          <w:sz w:val="17"/>
        </w:rPr>
        <w:t xml:space="preserve">Zitiervorschlag: § 20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