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BbgSchGG (Brandenburg) — Rücknahme des Antrags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Antrag kann zurückgenommen werden, nach Beginn der Schlichtungsverhandlung jedoch nur, wenn die Gegenpartei nicht widerspricht.</w:t>
      </w:r>
    </w:p>
    <w:p>
      <w:r>
        <w:t xml:space="preserve">(2) Die Rücknahme des Antrags ist bei der Schiedsstelle schriftlich einzureichen oder mündlich zu Protokoll zu erklären. § 11 Absatz 2 Satz 1 gilt entsprechend.</w:t>
      </w:r>
    </w:p>
    <w:p>
      <w:r>
        <w:rPr>
          <w:color w:val="555555"/>
          <w:sz w:val="17"/>
        </w:rPr>
        <w:t xml:space="preserve">Zitiervorschlag: § 12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