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BbgSchGG (Brandenburg) — Antrag auf Verfahrenseinleitung</w:t>
      </w:r>
    </w:p>
    <w:p>
      <w:r>
        <w:rPr>
          <w:color w:val="555555"/>
          <w:sz w:val="18"/>
        </w:rPr>
        <w:t xml:space="preserve">Brandenburgisches Schiedsstellen- und Gütestellengesetz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Schiedsperson leitet das Schlichtungsverfahren auf Antrag einer Partei ein.</w:t>
      </w:r>
    </w:p>
    <w:p>
      <w:r>
        <w:t xml:space="preserve">(2) Endet das Schlichtungsverfahren nicht mit einem Vergleich, so bedarf ein erneuter Antrag in derselben Sache der schriftlichen Zustimmung der Gegenpartei. § 11 Absatz 2 Satz 1 gilt entsprechend. Die Zustimmung ist mit der Antragstellung einzureichen.</w:t>
      </w:r>
    </w:p>
    <w:p>
      <w:r>
        <w:rPr>
          <w:color w:val="555555"/>
          <w:sz w:val="17"/>
        </w:rPr>
        <w:t xml:space="preserve">Zitiervorschlag: § 10 BbgSchGG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https://recht.nulegal.eu/gesetze/BbgSchGG/10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