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BbgSchGG (Brandenburg) — Gegenstand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gilt für die außergerichtliche Beilegung von bürgerlichen Rechtsstreitigkeiten vor Schiedsstellen und anerkannten Gütestellen und für Schlichtungsverfahren in Strafsachen vor Schiedsstellen.</w:t>
      </w:r>
    </w:p>
    <w:p>
      <w:r>
        <w:t xml:space="preserve">(2) Verfahren der außergerichtlichen Beilegung von bürgerlichen Rechtsstreitigkeiten nach diesem Gesetz umfassen Streitigkeiten der obligatorischen und der freiwilligen Streitbeilegung.</w:t>
      </w:r>
    </w:p>
    <w:p>
      <w:r>
        <w:t xml:space="preserve">(3) Schlichtungsverfahren in Strafsachen nach diesem Gesetz sind das Sühneverfahren vor Erhebung der Privatklage und der Täter-Opfer-Ausgleich.</w:t>
      </w:r>
    </w:p>
    <w:p>
      <w:r>
        <w:rPr>
          <w:color w:val="555555"/>
          <w:sz w:val="17"/>
        </w:rPr>
        <w:t xml:space="preserve">Zitiervorschlag: § 1 BbgSchGG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