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BbgSabSchutzV (Brandenburg)</w:t>
      </w:r>
    </w:p>
    <w:p>
      <w:r>
        <w:rPr>
          <w:color w:val="555555"/>
          <w:sz w:val="18"/>
        </w:rPr>
        <w:t xml:space="preserve">Brandenburgische Sabotageschutzverordnung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tritt am Tag nach der Verkündung in Kraft.</w:t>
      </w:r>
    </w:p>
    <w:p>
      <w:r>
        <w:t xml:space="preserve">Potsdam, den 4. Juli 2024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des Innern und für Kommunales</w:t>
      </w:r>
    </w:p>
    <w:p>
      <w:r>
        <w:t xml:space="preserve">Michael Stübgen</w:t>
      </w:r>
    </w:p>
    <w:p>
      <w:r>
        <w:rPr>
          <w:color w:val="555555"/>
          <w:sz w:val="17"/>
        </w:rPr>
        <w:t xml:space="preserve">Zitiervorschlag: § 2 BbgSabSchutzV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https://recht.nulegal.eu/gesetze/BbgSabSchutzV/2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BbgSabSchutzV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