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BbgSVVollzG (Brandenburg) — Arbeitstraining</w:t>
      </w:r>
    </w:p>
    <w:p>
      <w:r>
        <w:rPr>
          <w:color w:val="555555"/>
          <w:sz w:val="18"/>
        </w:rPr>
        <w:t xml:space="preserve">Brandenburgisches Sicherungsverwahrungsvollzugsgesetz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Arbeitstraining dient dazu, Untergebrachten, die nicht in der Lage sind, einer regelmäßigen und erwerbsorientierten Beschäftigung nachzugehen, Fähigkeiten und Fertigkeiten zu vermitteln, die eine Eingliederung in das leistungsorientierte Arbeitsleben fördern. Die dafür vorzuhaltenden Maßnahmen müssen den Anforderungen des Arbeitsmarktes Rechnung tragen.</w:t>
      </w:r>
    </w:p>
    <w:p>
      <w:r>
        <w:rPr>
          <w:color w:val="555555"/>
          <w:sz w:val="17"/>
        </w:rPr>
        <w:t xml:space="preserve">Zitiervorschlag: § 21 BbgSVVollzG (Brandenburg)</w:t>
      </w:r>
    </w:p>
    <w:p>
      <w:r>
        <w:rPr>
          <w:color w:val="555555"/>
          <w:sz w:val="17"/>
        </w:rPr>
        <w:t xml:space="preserve">Quelle: bravors, abgerufen 30.07.2026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https://recht.nulegal.eu/gesetze/BbgSVVollzG/21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