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BbgSGG (Brandenburg)</w:t>
      </w:r>
    </w:p>
    <w:p>
      <w:r>
        <w:rPr>
          <w:color w:val="555555"/>
          <w:sz w:val="18"/>
        </w:rPr>
        <w:t xml:space="preserve">Brandenburgisches Sozialgerichtsgesetz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Landessozialgericht wird gemeinsam mit dem Land Berlin errichtet.</w:t>
      </w:r>
    </w:p>
    <w:p>
      <w:r>
        <w:rPr>
          <w:color w:val="555555"/>
          <w:sz w:val="17"/>
        </w:rPr>
        <w:t xml:space="preserve">Zitiervorschlag: § 2 BbgSGG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