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BbgSGG (Brandenburg)</w:t>
      </w:r>
    </w:p>
    <w:p>
      <w:r>
        <w:rPr>
          <w:color w:val="555555"/>
          <w:sz w:val="18"/>
        </w:rPr>
        <w:t xml:space="preserve">Brandenburgisches Sozialgerichtsgesetz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Im Land Brandenburg werden Sozialgerichte</w:t>
      </w:r>
    </w:p>
    <w:p>
      <w:r>
        <w:t xml:space="preserve">in Cottbus</w:t>
      </w:r>
    </w:p>
    <w:p>
      <w:r>
        <w:t xml:space="preserve">für die Landkreise Dahme-Spreewald, Elbe-Elster, Oberspreewald-Lausitz, Spree-Neiße, Spremberg und die Stadt Cottbus;</w:t>
      </w:r>
    </w:p>
    <w:p>
      <w:r>
        <w:t xml:space="preserve">in Frankfurt (Oder)</w:t>
      </w:r>
    </w:p>
    <w:p>
      <w:r>
        <w:t xml:space="preserve">für die Landkreise Barnim, Märkisch-Oderland, Oder-Spree und die Stadt Frankfurt (Oder);</w:t>
      </w:r>
    </w:p>
    <w:p>
      <w:r>
        <w:t xml:space="preserve">in Neuruppin</w:t>
      </w:r>
    </w:p>
    <w:p>
      <w:r>
        <w:t xml:space="preserve">für die Landkreise Oberhavel, Ostprignitz-Ruppin, Prignitz und Uckermark;</w:t>
      </w:r>
    </w:p>
    <w:p>
      <w:r>
        <w:t xml:space="preserve">in Potsdam</w:t>
      </w:r>
    </w:p>
    <w:p>
      <w:r>
        <w:t xml:space="preserve">für die Landkreise Havelland, Potsdam-Mittelmark, Teltow-Fläming und die Städte Brandenburg an der Havel und Potsdam</w:t>
      </w:r>
    </w:p>
    <w:p>
      <w:r>
        <w:t xml:space="preserve">eingerichtet.</w:t>
      </w:r>
    </w:p>
    <w:p>
      <w:r>
        <w:t xml:space="preserve">Die Sozialgerichte werden nach ihrem Sitz benannt.</w:t>
      </w:r>
    </w:p>
    <w:p>
      <w:r>
        <w:t xml:space="preserve">(2) Für Angelegenheiten des Kassenarztrechts wird eine Kammer bei dem Sozialgericht Potsdam eingerichtet. Ihre Zuständigkeit erstreckt sich auf das Land Brandenburg.</w:t>
      </w:r>
    </w:p>
    <w:p>
      <w:r>
        <w:t xml:space="preserve">(3) Werden Kreisgebiete geändert, sind die Sozialgerichtsbezirke durch Gesetz anzupassen.</w:t>
      </w:r>
    </w:p>
    <w:p>
      <w:r>
        <w:rPr>
          <w:color w:val="555555"/>
          <w:sz w:val="17"/>
        </w:rPr>
        <w:t xml:space="preserve">Zitiervorschlag: § 1 BbgSGG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https://recht.nulegal.eu/gesetze/BbgSGG/1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