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BbgSÜG (Brandenburg) — Sicherheitserhebliche Erkenntnisse nach Abschluss der Sicherheitsüberprüfung</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Stelle und die mitwirkende Behörde haben sich unverzüglich gegenseitig zu unterrichten, wenn nachträglich sicherheitserhebliche Erkenntnisse zu der betroffenen oder mitbetroffenen Person bekannt werden oder sich mitgeteilte Erkenntnisse als unrichtig erweisen.</w:t>
      </w:r>
    </w:p>
    <w:p>
      <w:r>
        <w:t xml:space="preserve">(2) Für das weitere Verfahren gilt § 17 entsprechend.</w:t>
      </w:r>
    </w:p>
    <w:p>
      <w:r>
        <w:rPr>
          <w:color w:val="555555"/>
          <w:sz w:val="17"/>
        </w:rPr>
        <w:t xml:space="preserve">Zitiervorschlag: § 19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