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BbgRiStAEV (Brandenburg) — Inkrafttreten, Außerkrafttreten</w:t>
      </w:r>
    </w:p>
    <w:p>
      <w:r>
        <w:rPr>
          <w:color w:val="555555"/>
          <w:sz w:val="18"/>
        </w:rPr>
        <w:t xml:space="preserve">Brandenburgische Eignungsfeststellungsverordnung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Allgemeine Verfügung der Ministerin der Justiz über die Erprobung für Beförderungsämter vom 4. Mai 2021 (JMBl. S. 36) außer Kraft.</w:t>
      </w:r>
    </w:p>
    <w:p>
      <w:r>
        <w:t xml:space="preserve">Potsdam, den 8. November 2023</w:t>
      </w:r>
    </w:p>
    <w:p>
      <w:r>
        <w:t xml:space="preserve">Die Ministerin der Justiz</w:t>
      </w:r>
    </w:p>
    <w:p>
      <w:r>
        <w:t xml:space="preserve">Susanne Hoffmann</w:t>
      </w:r>
    </w:p>
    <w:p>
      <w:r>
        <w:rPr>
          <w:color w:val="555555"/>
          <w:sz w:val="17"/>
        </w:rPr>
        <w:t xml:space="preserve">Zitiervorschlag: § 6 BbgRiStAEV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https://recht.nulegal.eu/gesetze/BbgRiStAEV/6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