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BbgRiStAEV (Brandenburg) — Erfordernis der allgemeinen Eignungsfeststellung und Ausnahmen</w:t>
      </w:r>
    </w:p>
    <w:p>
      <w:r>
        <w:rPr>
          <w:color w:val="555555"/>
          <w:sz w:val="18"/>
        </w:rPr>
        <w:t xml:space="preserve">Brandenburgische Eignungsfeststellungsverordnung für die Richter- und Staatsanwaltschaft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Erprobungserfordernis im Sinne des § 9 Absatz 5 Satz 1 des Brandenburgischen Richtergesetzes gilt für Richterämter in der ordentlichen Gerichtsbarkeit, der Sozial-, Verwaltungs- und Arbeitsgerichtsbarkeit sowie für staatsanwaltliche Ämter. Ämter in der Finanzgerichtsbarkeit sind von dem Erprobungserfordernis ausgenommen.</w:t>
      </w:r>
    </w:p>
    <w:p>
      <w:r>
        <w:t xml:space="preserve">(2) Das Erfordernis der zusätzlichen allgemeinen Eignungsfeststellung im Sinne des § 9 Absatz 5 Satz 2 des Brandenburgischen Richtergesetzes gilt für die Ämter</w:t>
      </w:r>
    </w:p>
    <w:p>
      <w:r>
        <w:t xml:space="preserve">einer Direktorin oder eines Direktors eines Amts- und Arbeitsgerichts,</w:t>
      </w:r>
    </w:p>
    <w:p>
      <w:r>
        <w:t xml:space="preserve">einer Vizepräsidentin oder eines Vizepräsidenten und einer Präsidentin oder eines Präsidenten eines Amts-, Land-, Sozial- und Verwaltungsgerichts,</w:t>
      </w:r>
    </w:p>
    <w:p>
      <w:r>
        <w:t xml:space="preserve">einer Vizepräsidentin oder eines Vizepräsidenten des Oberlandesgerichts,</w:t>
      </w:r>
    </w:p>
    <w:p>
      <w:r>
        <w:t xml:space="preserve">einer Oberstaatsanwältin oder eines Oberstaatsanwalts als die ständige Vertreterin oder der ständige Vertreter einer Leitenden Oberstaatsanwältin oder eines Leitenden Oberstaatsanwalts als Leiterin oder Leiter einer Staatsanwaltschaft,</w:t>
      </w:r>
    </w:p>
    <w:p>
      <w:r>
        <w:t xml:space="preserve">einer Leitenden Oberstaatsanwältin oder eines Leitenden Oberstaatsanwalts als Leiterin oder Leiter einer Staatsanwaltschaft sowie</w:t>
      </w:r>
    </w:p>
    <w:p>
      <w:r>
        <w:t xml:space="preserve">einer Leitenden Oberstaatsanwältin oder eines Leitenden Oberstaatsanwalts, die oder der mit Personalangelegenheiten als Abteilungsleiterin oder Abteilungsleiter bei der Generalstaatsanwaltschaft betraut ist.</w:t>
      </w:r>
    </w:p>
    <w:p>
      <w:r>
        <w:t xml:space="preserve">Andere als die in Satz 1 genannten Ämter sind von dem Erfordernis der zusätzlichen allgemeinen Eignungsfeststellung ausgenommen. Ein mit der Leitung eines Gerichts oder einer Staatsanwaltschaft oder deren ständiger Vertretung verbundenes Amt im Sinne des § 9 Absatz 5 Satz 2 des Brandenburgischen Richtergesetzes wird erstmals übertragen, wenn die erstmalige Berufung in eines der in Satz 1 genannten Ämter erfolgt.</w:t>
      </w:r>
    </w:p>
    <w:p>
      <w:r>
        <w:rPr>
          <w:color w:val="555555"/>
          <w:sz w:val="17"/>
        </w:rPr>
        <w:t xml:space="preserve">Zitiervorschlag: § 1 BbgRiStAEV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https://recht.nulegal.eu/gesetze/BbgRiStAEV/1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