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BbgRiStABeurtV (Brandenburg) — Beurteilungsgrundlagen</w:t>
      </w:r>
    </w:p>
    <w:p>
      <w:r>
        <w:rPr>
          <w:color w:val="555555"/>
          <w:sz w:val="18"/>
        </w:rPr>
        <w:t xml:space="preserve">Brandenburgische Beurteilungsverordnung für die Richter- und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dienstliche Beurteilung erfolgt auf möglichst breiten Erkenntnisgrundlagen. Hierzu kann insbesondere die Einholung mündlicher und schriftlicher Beurteilungsbeiträge Dritter, das Ein-</w:t>
      </w:r>
    </w:p>
    <w:p>
      <w:r>
        <w:t xml:space="preserve">sehen von Verfahrensakten, die Erhebung und Verwertung statistischer Daten und die Teilnahme an Sitzungen erfolgen. Die Erkenntnisgrundlagen sind in der dienstlichen Beurteilung zu nennen.</w:t>
      </w:r>
    </w:p>
    <w:p>
      <w:r>
        <w:rPr>
          <w:color w:val="555555"/>
          <w:sz w:val="17"/>
        </w:rPr>
        <w:t xml:space="preserve">Zitiervorschlag: § 6 BbgRiStABeurtV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https://recht.nulegal.eu/gesetze/BbgRiStABeurtV/6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