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BbgRiG (Brandenburg) — Beteiligungsverfahren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Verfahren vor der Einigungsstelle sollen in Angelegenheiten der Staatsanwältinnen und Staatsanwälte zwei der vom Hauptrichter- und Hauptstaatsanwaltsrat bestellten beisitzenden Mitglieder (§ 47 Absatz 6 Satz 3) Staatsanwältinnen und Staatsanwälte sein.</w:t>
      </w:r>
    </w:p>
    <w:p>
      <w:r>
        <w:t xml:space="preserve">(2) Soweit der Gesamtstaatsanwaltsrat Aufgaben des Präsidialrats wahrnimmt, gilt § 61 entsprechend.</w:t>
      </w:r>
    </w:p>
    <w:p>
      <w:r>
        <w:rPr>
          <w:color w:val="555555"/>
          <w:sz w:val="17"/>
        </w:rPr>
        <w:t xml:space="preserve">Zitiervorschlag: § 93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https://recht.nulegal.eu/gesetze/BbgRiG/93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