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BbgRiG (Brandenburg) — Wahlrecht, Wählbarkeit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Wahlberechtigt sind alle Richterinnen und Richter, die am Wahltag einem Gericht angehören. § 15 Absatz 1 Satz 1 und Absatz 3 bleibt unberührt. Die Wahlberechtigung erlischt bei einer Abordnung an eine Verwaltungsbehörde, sobald bei dieser eine Wahlberechtigung nach personalvertretungsrechtlichen Vorschriften besteht.</w:t>
      </w:r>
    </w:p>
    <w:p>
      <w:r>
        <w:t xml:space="preserve">(2) Wählbar sind alle Richterinnen und Richter auf Lebenszeit, die am Wahltag einem Gericht im Anwendungsbereich dieses Gesetzes angehören.</w:t>
      </w:r>
    </w:p>
    <w:p>
      <w:r>
        <w:t xml:space="preserve">(3) Nicht wählbar sind</w:t>
      </w:r>
    </w:p>
    <w:p>
      <w:r>
        <w:t xml:space="preserve">zum Richterrat die Vorstände der Gerichte, an denen der Richterrat gebildet wird, ihre ständigen Vertreterinnen und Vertreter, Aufsicht führende Richterinnen und Richter und an eine Verwaltungsbehörde abgeordnete Richterinnen und Richter,</w:t>
      </w:r>
    </w:p>
    <w:p>
      <w:r>
        <w:t xml:space="preserve">zum Präsidialrat die Mitglieder des Richterwahlausschusses und ihre Stellvertreterinnen und Stellvertreter.</w:t>
      </w:r>
    </w:p>
    <w:p>
      <w:r>
        <w:rPr>
          <w:color w:val="555555"/>
          <w:sz w:val="17"/>
        </w:rPr>
        <w:t xml:space="preserve">Zitiervorschlag: § 89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