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81 BbgRiG (Brandenburg) — Versetzungsverfahren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Versetzungsverfahren (§ 65 Nummer 2) wird durch einen Antrag der obersten Dienstbehörde eingeleitet.</w:t>
      </w:r>
    </w:p>
    <w:p>
      <w:r>
        <w:t xml:space="preserve">(2) Das Gericht erklärt eine der in § 31 des Deutschen Richtergesetzes vorgesehenen Maßnahmen für zulässig oder weist den Antrag zurück.</w:t>
      </w:r>
    </w:p>
    <w:p>
      <w:r>
        <w:rPr>
          <w:color w:val="555555"/>
          <w:sz w:val="17"/>
        </w:rPr>
        <w:t xml:space="preserve">Zitiervorschlag: § 81 BbgRiG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