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78 BbgRiG (Brandenburg) — Bekleidung mehrerer Ämter</w:t>
      </w:r>
    </w:p>
    <w:p>
      <w:r>
        <w:rPr>
          <w:color w:val="555555"/>
          <w:sz w:val="18"/>
        </w:rPr>
        <w:t xml:space="preserve">Brandenburgisches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Ist eine Richterin oder ein Richter zugleich Beamtin oder Beamter, so sind die Vorschriften über das Disziplinarverfahren gegen Richterinnen und Richter anzuwenden.</w:t>
      </w:r>
    </w:p>
    <w:p>
      <w:r>
        <w:t xml:space="preserve">(2) Das Richterdienstgericht kann im Urteil die Wirkung der Entfernung aus dem Dienst auf das Richterverhältnis und auf die in Verbindung mit diesem bekleideten Nebenämter beschränken.</w:t>
      </w:r>
    </w:p>
    <w:p>
      <w:r>
        <w:rPr>
          <w:color w:val="555555"/>
          <w:sz w:val="17"/>
        </w:rPr>
        <w:t xml:space="preserve">Zitiervorschlag: § 78 BbgRiG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https://recht.nulegal.eu/gesetze/BbgRiG/78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