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73 BbgRiG (Brandenburg) — Geltung des Disziplinargesetzes</w:t>
      </w:r>
    </w:p>
    <w:p>
      <w:r>
        <w:rPr>
          <w:color w:val="555555"/>
          <w:sz w:val="18"/>
        </w:rPr>
        <w:t xml:space="preserve">Brandenburgisches Richtergesetz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Für das Verfahren in Disziplinarsachen gelten die Vorschriften des Landesdisziplinargesetzes in der bis zum 31. August 2024 geltenden Fassung sinngemäß, soweit dieses Gesetz nichts anderes bestimmt. § 30a des Landesdisziplinargesetzes in der ab dem 1. September 2024 geltenden Fassung findet entsprechend Anwendung.</w:t>
      </w:r>
    </w:p>
    <w:p>
      <w:r>
        <w:t xml:space="preserve">(2) Die Disziplinarklage wird von der obersten Dienstbehörde erhoben.</w:t>
      </w:r>
    </w:p>
    <w:p>
      <w:r>
        <w:t xml:space="preserve">(3) Durch Disziplinarverfügung kann nur ein Verweis verhängt werden.</w:t>
      </w:r>
    </w:p>
    <w:p>
      <w:r>
        <w:rPr>
          <w:color w:val="555555"/>
          <w:sz w:val="17"/>
        </w:rPr>
        <w:t xml:space="preserve">Zitiervorschlag: § 73 BbgRiG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https://recht.nulegal.eu/gesetze/BbgRiG/73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