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BbgRiG (Brandenburg) — Verbot der Amtsausübung</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 richterliches Mitglied eines Richterdienstgerichts, gegen das ein gerichtliches Disziplinarverfahren oder wegen einer vorsätzlichen Straftat ein Strafverfahren eingeleitet ist oder dem die Führung seiner Amtsgeschäfte vorläufig untersagt ist, kann während dieses Verfahrens oder der Dauer des Verbots sein Amt nicht ausüben.</w:t>
      </w:r>
    </w:p>
    <w:p>
      <w:r>
        <w:t xml:space="preserve">(2) Ein anwaltliches Mitglied des Dienstgerichtshofs, gegen das ein anwaltsgerichtliches Verfahren oder wegen einer vorsätzlichen Straftat ein Strafverfahren eingeleitet oder ein Berufs- oder Vertretungsverbot (§§ 150, 161a der Bundesrechtsanwaltsordnung) verhängt worden ist, kann während dieses Verfahrens und der Dauer des Verbots sein Amt nicht ausüben. Werden dem Vorstand der Rechtsanwaltskammer solche Tatbestände bekannt, so unterrichtet er unverzüglich das Präsidium des Gerichts, bei dem das Dienstgericht eingerichtet ist.</w:t>
      </w:r>
    </w:p>
    <w:p>
      <w:r>
        <w:rPr>
          <w:color w:val="555555"/>
          <w:sz w:val="17"/>
        </w:rPr>
        <w:t xml:space="preserve">Zitiervorschlag: § 71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https://recht.nulegal.eu/gesetze/BbgRiG/71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