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BbgRiG (Brandenburg) — Besetzung des Dienstgerichts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Das Dienstgericht verhandelt und entscheidet in der Besetzung mit einer oder einem Vorsitzenden, einem ständigen und einem nichtständigen richterlichen beisitzenden Mitglied.</w:t>
      </w:r>
    </w:p>
    <w:p>
      <w:r>
        <w:t xml:space="preserve">(2) Die oder der Vorsitzende des Dienstgerichts muss der ordentlichen Gerichtsbarkeit, das ständige richterliche beisitzende Mitglied der Verwaltungsgerichtsbarkeit angehören. Die Vertreterinnen und Vertreter sind jeweils derselben Gerichtsbarkeit zu entnehmen.</w:t>
      </w:r>
    </w:p>
    <w:p>
      <w:r>
        <w:t xml:space="preserve">(3) Das nichtständige richterliche beisitzende Mitglied des Dienstgerichts muss dem Gerichtszweig der betroffenen Richterin oder des betroffenen Richters angehören.</w:t>
      </w:r>
    </w:p>
    <w:p>
      <w:r>
        <w:rPr>
          <w:color w:val="555555"/>
          <w:sz w:val="17"/>
        </w:rPr>
        <w:t xml:space="preserve">Zitiervorschlag: § 69 BbgRiG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