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 BbgRiG (Brandenburg) — Aufgaben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Präsidialrat ist zu beteiligen bei</w:t>
      </w:r>
    </w:p>
    <w:p>
      <w:r>
        <w:t xml:space="preserve">jeder Einstellung von Richterinnen und Richtern sowie der Ernennung zur Richterin oder zum Richter auf Lebenszeit,</w:t>
      </w:r>
    </w:p>
    <w:p>
      <w:r>
        <w:t xml:space="preserve">jeder Übertragung eines Richteramtes mit höherem Endgrundgehalt als dem eines Eingangsamtes,</w:t>
      </w:r>
    </w:p>
    <w:p>
      <w:r>
        <w:t xml:space="preserve">jeder Versetzung,</w:t>
      </w:r>
    </w:p>
    <w:p>
      <w:r>
        <w:t xml:space="preserve">der Rücknahme der Ernennung und der Entlassung einer Richterin oder eines Richters auf Probe und einer Richterin oder eines Richters kraft Auftrags; das gilt nicht, wenn die Richterin oder der Richter die Entlassung schriftlich beantragt oder der Rücknahme oder der Entlassung schriftlich zustimmt,</w:t>
      </w:r>
    </w:p>
    <w:p>
      <w:r>
        <w:t xml:space="preserve">Abordnungen ab einer Dauer von sechs Monaten,</w:t>
      </w:r>
    </w:p>
    <w:p>
      <w:r>
        <w:t xml:space="preserve">vorzeitiger Versetzung in den Ruhestand,</w:t>
      </w:r>
    </w:p>
    <w:p>
      <w:r>
        <w:t xml:space="preserve">der Übertragung eines anderen Richteramtes mit geringerem Endgrundgehalt und der Amtsenthebung infolge einer Veränderung der Gerichtsorganisation (§ 32 des Deutschen Richtergesetzes).</w:t>
      </w:r>
    </w:p>
    <w:p>
      <w:r>
        <w:t xml:space="preserve">(2) In den Fällen des Absatzes 1 Nummer 4, 6 und 7 wird der Präsidialrat nur auf Antrag der betroffenen Richterin oder des betroffenen Richters beteiligt. Der Gerichtsvorstand weist die Richterin oder den Richter rechtzeitig auf das Antragsrecht hin.</w:t>
      </w:r>
    </w:p>
    <w:p>
      <w:r>
        <w:t xml:space="preserve">(3) Zuständig ist der Präsidialrat für den Gerichtszweig, dem die Richterin oder der Richter angehört; im Fall des Absatzes 1 Nummer 1 bis 3 ist der Präsidialrat für den Gerichtszweig zuständig, bei dem die Richterin oder der Richter verwendet werden soll.</w:t>
      </w:r>
    </w:p>
    <w:p>
      <w:r>
        <w:rPr>
          <w:color w:val="555555"/>
          <w:sz w:val="17"/>
        </w:rPr>
        <w:t xml:space="preserve">Zitiervorschlag: § 60 BbgRiG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