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BbgRiG (Brandenburg) — Beteiligung an gemeinsamen Angelegenheiten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Bestehen Anhaltspunkte, dass an einer Angelegenheit Richterrat und Personalrat gemeinsam beteiligt sind, unterrichten sie sich gegenseitig. Dem Gerichtsvorstand ist Gelegenheit zur Stellungnahme zu geben.</w:t>
      </w:r>
    </w:p>
    <w:p>
      <w:r>
        <w:t xml:space="preserve">(2) Sind an einer Angelegenheit Richterrat und Personalrat gemeinsam beteiligt, so beraten und beschließen beide in einer gemeinsamen Sitzung, an der die Mitglieder des Personalrats und eine nach Maßgabe des Absatzes 3 bestimmte Zahl von entsandten Mitgliedern des Richterrats teilnehmen.</w:t>
      </w:r>
    </w:p>
    <w:p>
      <w:r>
        <w:t xml:space="preserve">(3) Die Zahl der entsandten Mitglieder des Richterrats verhält sich zu der Zahl der zum Richterrat Wahlberechtigten wie die Zahl der Mitglieder des Personalrats zu der Zahl der zum Personalrat Wahlberechtigten. Jedoch entsendet der Richterrat mindestens die einem Fünftel der Mitglieder des Personalrats entsprechende Zahl.</w:t>
      </w:r>
    </w:p>
    <w:p>
      <w:r>
        <w:t xml:space="preserve">(4) Besteht der Personalrat nur aus einer Person, so tritt ein Mitglied des Richterrats zur Beschlussfassung zum Personalrat hinzu.</w:t>
      </w:r>
    </w:p>
    <w:p>
      <w:r>
        <w:t xml:space="preserve">(5) Ist die Zahl der Mitglieder des Richterrats und des Personalrats gleich groß, so treten beide Vertretungen zusammen; den Vorsitz führt die Vorsitzende oder der Vorsitzende des Richterrats.</w:t>
      </w:r>
    </w:p>
    <w:p>
      <w:r>
        <w:t xml:space="preserve">(6) Für den Gesamtrichterrat und den Hauptrichter- und Hauptstaatsanwaltsrat gelten die Absätze 2 bis 5 entsprechend.</w:t>
      </w:r>
    </w:p>
    <w:p>
      <w:r>
        <w:rPr>
          <w:color w:val="555555"/>
          <w:sz w:val="17"/>
        </w:rPr>
        <w:t xml:space="preserve">Zitiervorschlag: § 55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