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BbgRiG (Brandenburg) — Gesamtrichterräte, Hauptrichter- und Hauptstaatsanwaltsrat</w:t>
      </w:r>
    </w:p>
    <w:p>
      <w:r>
        <w:rPr>
          <w:color w:val="555555"/>
          <w:sz w:val="18"/>
        </w:rPr>
        <w:t xml:space="preserve">Brandenburgisches Richtergesetz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die Mitgliedschaft in den Gesamtrichterräten und dem Hauptrichter- und Hauptstaatsanwaltsrat sowie deren Auflösung und Neuwahl gelten die §§ 36 und 38 entsprechend.</w:t>
      </w:r>
    </w:p>
    <w:p>
      <w:r>
        <w:t xml:space="preserve">(2) In Angelegenheiten, in denen der Gesamtrichterrat oder der Hauptrichter- und Hauptstaatsanwaltsrat nach § 39 Absatz 1 Nummer 2 oder 3 zu beteiligen ist, gelten die §§ 41 bis 53 entsprechend.</w:t>
      </w:r>
    </w:p>
    <w:p>
      <w:r>
        <w:rPr>
          <w:color w:val="555555"/>
          <w:sz w:val="17"/>
        </w:rPr>
        <w:t xml:space="preserve">Zitiervorschlag: § 54 BbgRiG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https://recht.nulegal.eu/gesetze/BbgRiG/54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