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50 BbgRiG (Brandenburg) — Aufhebung bindungsgeeigneter Beschlüsse der Einigungsstelle</w:t>
      </w:r>
    </w:p>
    <w:p>
      <w:r>
        <w:rPr>
          <w:color w:val="555555"/>
          <w:sz w:val="18"/>
        </w:rPr>
        <w:t xml:space="preserve">Brandenburgisches Richtergesetz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oberste Dienstbehörde kann Beschlüsse der Einigungsstelle ganz oder teilweise aufheben und endgültig entscheiden, wenn durch den Beschluss der Amtsauftrag, für eine geordnete Rechtspflege zu sorgen, nicht nur unerheblich berührt wird.</w:t>
      </w:r>
    </w:p>
    <w:p>
      <w:r>
        <w:t xml:space="preserve">(2) Die oberste Dienstbehörde hebt Beschlüsse der Einigungsstelle ganz oder teilweise auf und entscheidet endgültig, sofern der Beschluss gegen geltendes Recht verstößt.</w:t>
      </w:r>
    </w:p>
    <w:p>
      <w:r>
        <w:rPr>
          <w:color w:val="555555"/>
          <w:sz w:val="17"/>
        </w:rPr>
        <w:t xml:space="preserve">Zitiervorschlag: § 50 BbgRiG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https://recht.nulegal.eu/gesetze/BbgRiG/50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50 BbgRiG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