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BbgRiG (Brandenburg) — Beschlussfassung der Einigungsstelle</w:t>
      </w:r>
    </w:p>
    <w:p>
      <w:r>
        <w:rPr>
          <w:color w:val="555555"/>
          <w:sz w:val="18"/>
        </w:rPr>
        <w:t xml:space="preserve">Brandenburgisches Richtergesetz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Einigungsstelle entscheidet nach mündlicher Beratung durch Beschluss. Der Beschluss wird von den Mitgliedern der Einigungsstelle mit Stimmenmehrheit gefasst. Der Beschluss soll innerhalb von 30 Arbeitstagen nach Anrufung der Einigungsstelle ergehen.</w:t>
      </w:r>
    </w:p>
    <w:p>
      <w:r>
        <w:t xml:space="preserve">(2) Der Beschluss ist auf Antrag unverzüglich schriftlich abzufassen, zu begründen, von dem unparteiischen Mitglied zu unterzeichnen und den Beteiligten zuzustellen.</w:t>
      </w:r>
    </w:p>
    <w:p>
      <w:r>
        <w:t xml:space="preserve">(3) Der Beschluss ist für die Beteiligten bindend, soweit er nicht nach § 50 ganz oder teilweise aufgehoben wird.</w:t>
      </w:r>
    </w:p>
    <w:p>
      <w:r>
        <w:rPr>
          <w:color w:val="555555"/>
          <w:sz w:val="17"/>
        </w:rPr>
        <w:t xml:space="preserve">Zitiervorschlag: § 49 BbgRiG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https://recht.nulegal.eu/gesetze/BbgRiG/49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