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BbgRiG (Brandenburg) — Verfahren bei Nichtzustimmung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Kommt es über eine der Mitbestimmung unterliegende Maßnahme zwischen dem Gerichtsvorstand und dem Richterrat nicht zu einer Einigung, so kann innerhalb von zwei Wochen nach der Feststellung der Nichteinigung die Sache schriftlich der übergeordneten Dienststelle, bei der eine Stufenvertretung gebildet ist, oder dem Gesamtrichterrat vorgelegt werden. Gesamtrichterrat und übergeordnete Dienststelle verhandeln innerhalb von zwei Wochen. Die Sätze 1 und 2 gelten entsprechend, wenn die Präsidentin oder der Präsident des oberen Landesgerichts den örtlich zuständigen Richterrat zu beteiligen hat. In der Finanzgerichtsbarkeit beteiligt die übergeordnete Dienststelle den Richterrat. In dringenden Fällen kann die Verhandlung binnen einer Woche beantragt werden.</w:t>
      </w:r>
    </w:p>
    <w:p>
      <w:r>
        <w:t xml:space="preserve">(2) Einigen sich die Präsidentin oder der Präsident des oberen Landesgerichts als übergeordnete Dienststelle und die zuständige Richtervertretung nicht, so kann innerhalb von zwei Wochen nach der Feststellung der Nichteinigung die Sache schriftlich auf dem Dienstweg der obersten Dienstbehörde vorgelegt werden. Absatz 1 Satz 2, 4 und 5 gilt entsprechend.</w:t>
      </w:r>
    </w:p>
    <w:p>
      <w:r>
        <w:t xml:space="preserve">(3) In den Fällen des Absatzes 1 kann die Sache einvernehmlich auch unmittelbar der obersten Dienstbehörde zur weiteren Verhandlung mit dem Hauptrichter- und Hauptstaatsanwaltsrat vorgelegt werden.</w:t>
      </w:r>
    </w:p>
    <w:p>
      <w:r>
        <w:t xml:space="preserve">(4) Kommt es zwischen der obersten Dienstbehörde und dem Hauptrichter- und Hauptstaatsanwaltsrat zu keiner Einigung, so kann innerhalb von zwei Wochen nach Feststellung der Nichteinigung die Einigungsstelle angerufen werden. Eine Anrufung durch den Hauptrichter- und Hauptstaatsanwaltsrat bedarf eines Antrags der zuständigen Richtervertretung. Sieht er von einer Anrufung ab, so hat er dies der zuständigen Richtervertretung unverzüglich mitzuteilen.</w:t>
      </w:r>
    </w:p>
    <w:p>
      <w:r>
        <w:t xml:space="preserve">(5) Der Feststellung der Nichteinigung in den Fällen der Absätze 1 bis 4 steht es gleich, wenn seit dem Antrag auf Zustimmung oder Vorlage der Maßnahme sechs Wochen vergangen sind.</w:t>
      </w:r>
    </w:p>
    <w:p>
      <w:r>
        <w:t xml:space="preserve">(6) Die Einigungsstelle wird bei der zuständigen obersten Dienstbehörde für die regelmäßige Dauer der Wahlperiode gebildet. Bestehen mehrere oberste Dienstbehörden, wird die Einigungsstelle bei der Behörde gebildet, welche die Dienstaufsicht über die ordentliche Gerichtsbarkeit ausübt. Sie besteht aus je drei von der obersten Dienstbehörde und dem Hauptrichter- und Hauptstaatsanwaltsrat bestellten beisitzenden sowie einem unparteiischen vorsitzenden Mitglied, auf dessen Person sich beide Seiten einigen. Bestehen mehrere oberste Dienstbehörden, sind die beisitzenden Mitglieder einvernehmlich zu bestellen. Kommt eine Einigung über die Person des vorsitzenden Mitglieds nicht zustande, bestellt ihn die Präsidentin oder der Präsident des Landtages.</w:t>
      </w:r>
    </w:p>
    <w:p>
      <w:r>
        <w:t xml:space="preserve">(7) In gemeinsamen Angelegenheiten nach § 55 gehören der Einigungsstelle statt drei vom Richterrat benannter Mitglieder je ein vom Richterrat und vom Personalrat benanntes Mitglied sowie ein weiteres Mitglied an, das von dem Gremium benannt wird, das die höhere Anzahl von Wahlberechtigten hat. Bei gleicher Anzahl von Wahlberechtigten entscheidet das Los.</w:t>
      </w:r>
    </w:p>
    <w:p>
      <w:r>
        <w:t xml:space="preserve">(8) Kommt es bei mitbestimmungspflichtigen Maßnahmen der obersten Dienstbehörde nicht zu einer Einigung, so entscheidet die oberste Dienstbehörde endgültig; Absätze 1 bis 7 sowie §§ 48 bis 50 finden in diesem Fall keine Anwendung.</w:t>
      </w:r>
    </w:p>
    <w:p>
      <w:r>
        <w:rPr>
          <w:color w:val="555555"/>
          <w:sz w:val="17"/>
        </w:rPr>
        <w:t xml:space="preserve">Zitiervorschlag: § 47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