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BbgRiG (Brandenburg) — Verfahren bei der Mitbestimmung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der Mitbestimmung des Richterrats unterliegende Maßnahme kann nur mit seiner Zustimmung getroffen werden, soweit in diesem Gesetz nichts anderes bestimmt ist.</w:t>
      </w:r>
    </w:p>
    <w:p>
      <w:r>
        <w:t xml:space="preserve">(2) Der Gerichtsvorstand unterrichtet den Richterrat von der beabsichtigten Maßnahme und beantragt seine Zustimmung. Der Richterrat kann verlangen, dass der Gerichtsvorstand die beabsichtigte Maßnahme begründet. Der Beschluss des Richterrats ist dem Gerichtsvorstand innerhalb von zwei Wochen nach dem Eingang des Antrags schriftlich mitzuteilen und im Fall der Ablehnung zu begründen. In dringenden Fällen kann die Frist auf eine Woche verkürzt werden. Die Maßnahme gilt als gebilligt, wenn nicht der Richterrat innerhalb der genannten Frist die Zustimmung schriftlich verweigert; dies gilt nicht, wenn der Richterrat schriftlich Fristverlängerung beantragt hat. Eine Fristverlängerung über zwei Wochen hinaus bedarf der Festsetzung durch den Gerichtsvorstand. Ist der Gerichtsvorstand nach allgemeinen Vorschriften an eine Frist gebunden, so kommt eine Fristverlängerung höchstens bis zu einer Woche vor Ablauf dieser Frist in Betracht; hat der Richterrat bis zum Ablauf der Fristverlängerung die Zustimmung nicht schriftlich verweigert, so gilt die Maßnahme als gebilligt.</w:t>
      </w:r>
    </w:p>
    <w:p>
      <w:r>
        <w:t xml:space="preserve">(3) Beantragt der Richterrat eine der Mitbestimmung unterliegende Maßnahme, hat er sie schriftlich vorzuschlagen und zu begründen. Der Gerichtsvorstand gibt dem Richterrat innerhalb von zwei Wochen nach dem Eingang des Antrags seine Entscheidung bekannt. Er erteilt einen Zwischenbescheid, falls eine Entscheidung innerhalb der Frist nicht möglich ist. Bei Erteilung eines Zwischenbescheids ist die Entscheidung unverzüglich, spätestens aber innerhalb von drei Monaten nach dem Ablauf der Frist des Satzes 2 zu treffen. Ablehnung der beantragten Maßnahme und Zwischenbescheid sind zu begründen.</w:t>
      </w:r>
    </w:p>
    <w:p>
      <w:r>
        <w:t xml:space="preserve">(4) Soweit Mitglieder des Richterrats Beschwerden oder Behauptungen vortragen, die für eine Richterin oder einen Richter ungünstig sind oder nachteilig werden können, ist ihr oder ihm Gelegenheit zur Äußerung zu geben; die Äußerung ist aktenkundig zu machen.</w:t>
      </w:r>
    </w:p>
    <w:p>
      <w:r>
        <w:rPr>
          <w:color w:val="555555"/>
          <w:sz w:val="17"/>
        </w:rPr>
        <w:t xml:space="preserve">Zitiervorschlag: § 46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