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BbgRiG (Brandenburg) — Arbeitsschutz und Unfallverhütung</w:t>
      </w:r>
    </w:p>
    <w:p>
      <w:r>
        <w:rPr>
          <w:color w:val="555555"/>
          <w:sz w:val="18"/>
        </w:rPr>
        <w:t xml:space="preserve">Brandenburgisches Richtergesetz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30.07.2026 (konsolidierte Textfassung, kein amtliches Inkrafttretensdatum)</w:t>
      </w:r>
    </w:p>
    <w:p>
      <w:r>
        <w:t xml:space="preserve">Für die Aufgaben und Befugnisse des Richterrats bei Maßnahmen im Zusammenhang mit dem Arbeitsschutz oder der Unfallverhütung gelten die personalvertretungsrechtlichen Bestimmungen entsprechend. Krankenstatistiken sind ihm zur Kenntnisnahme vorzulegen.</w:t>
      </w:r>
    </w:p>
    <w:p>
      <w:r>
        <w:rPr>
          <w:color w:val="555555"/>
          <w:sz w:val="17"/>
        </w:rPr>
        <w:t xml:space="preserve">Zitiervorschlag: § 44 BbgRiG (Brandenburg)</w:t>
      </w:r>
    </w:p>
    <w:p>
      <w:r>
        <w:rPr>
          <w:color w:val="555555"/>
          <w:sz w:val="17"/>
        </w:rPr>
        <w:t xml:space="preserve">Quelle: bravors, abgerufen 29.07.2026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https://recht.nulegal.eu/gesetze/BbgRiG/44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