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43 BbgRiG (Brandenburg) — Initiativrecht</w:t>
      </w:r>
    </w:p>
    <w:p>
      <w:r>
        <w:rPr>
          <w:color w:val="555555"/>
          <w:sz w:val="18"/>
        </w:rPr>
        <w:t xml:space="preserve">Brandenburgisches Richtergesetz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Zu den Aufgaben des Richterrats gehört es,</w:t>
      </w:r>
    </w:p>
    <w:p>
      <w:r>
        <w:t xml:space="preserve">Maßnahmen zu beantragen, die dem Gericht und den Richterinnen und Richtern unter Berücksichtigung der Belange der anderen Beschäftigten dienen,</w:t>
      </w:r>
    </w:p>
    <w:p>
      <w:r>
        <w:t xml:space="preserve">darauf hinzuwirken, dass die zugunsten der Richterinnen und Richter geltenden Rechtsvorschriften, Dienstvereinbarungen und Verwaltungsanordnungen durchgeführt werden,</w:t>
      </w:r>
    </w:p>
    <w:p>
      <w:r>
        <w:t xml:space="preserve">Beschwerden und Anregungen von Richterinnen und Richtern entgegenzunehmen und, falls sie begründet erscheinen, durch Verhandlung mit dem Gerichtsvorstand auf die Erledigung der Beschwerden und die Berücksichtigung der Anregungen hinzuwirken,</w:t>
      </w:r>
    </w:p>
    <w:p>
      <w:r>
        <w:t xml:space="preserve">Maßnahmen zur Eingliederung und zur beruflichen Entwicklung von Richterinnen und Richtern, die schwerbehindert sind, zu beantragen,</w:t>
      </w:r>
    </w:p>
    <w:p>
      <w:r>
        <w:t xml:space="preserve">die Zusammenarbeit von richterlichem und nichtrichterlichem Personal zu fördern.</w:t>
      </w:r>
    </w:p>
    <w:p>
      <w:r>
        <w:rPr>
          <w:color w:val="555555"/>
          <w:sz w:val="17"/>
        </w:rPr>
        <w:t xml:space="preserve">Zitiervorschlag: § 43 BbgRiG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https://recht.nulegal.eu/gesetze/BbgRiG/43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