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BbgRiG (Brandenburg) — Zuständigkeit der Richterräte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Es ist zu beteiligen</w:t>
      </w:r>
    </w:p>
    <w:p>
      <w:r>
        <w:t xml:space="preserve">der Richterrat in Angelegenheiten, welche die Richterinnen und Richter des Gerichts betreffen, für das der Richterrat gebildet ist,</w:t>
      </w:r>
    </w:p>
    <w:p>
      <w:r>
        <w:t xml:space="preserve">der Gesamtrichterrat in Angelegenheiten, die über den Aufgabenbereich eines Richterrats hinausgehen und die ihm durch dieses Gesetz zugewiesen werden,</w:t>
      </w:r>
    </w:p>
    <w:p>
      <w:r>
        <w:t xml:space="preserve">der Hauptrichter- und Hauptstaatsanwaltsrat in Angelegenheiten, die mehrere Gerichtszweige oder mehrere Gerichte und mindestens eine Staatsanwaltschaft betreffen und die ihm durch dieses Gesetz zugewiesen werden.</w:t>
      </w:r>
    </w:p>
    <w:p>
      <w:r>
        <w:t xml:space="preserve">(2) Betrifft eine Maßnahme ein Gericht und eine oder mehrere Staatsanwaltschaften, so gelten die §§ 40 und 55 Absatz 1 und 2 entsprechend mit der Maßgabe, dass die betroffenen Vertretungen gemeinsam entscheiden.</w:t>
      </w:r>
    </w:p>
    <w:p>
      <w:r>
        <w:rPr>
          <w:color w:val="555555"/>
          <w:sz w:val="17"/>
        </w:rPr>
        <w:t xml:space="preserve">Zitiervorschlag: § 39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