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BbgRiG (Brandenburg) — Wahl und Bestimmung der Mitglieder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des Richterrats werden von den Richterinnen und Richtern des jeweiligen Gerichts aus ihrer Mitte gewählt.</w:t>
      </w:r>
    </w:p>
    <w:p>
      <w:r>
        <w:t xml:space="preserve">(2) Die Mitglieder des Gesamtrichterrats werden von den Richterinnen und Richtern des jeweiligen Gerichtszweigs aus ihrer Mitte gewählt.</w:t>
      </w:r>
    </w:p>
    <w:p>
      <w:r>
        <w:t xml:space="preserve">(3) Von den richterlichen Mitgliedern des Hauptrichter- und Hauptstaatsanwaltsrats werden fünf Mitglieder vom Gesamtrichterrat der ordentlichen Gerichtsbarkeit, jeweils ein Mitglied von den Gesamtrichterräten der Verwaltungs-, Arbeits- und Sozialgerichtsbarkeit sowie ein Mitglied vom Richterrat bei dem Finanzgericht Berlin-Brandenburg aus dem Kreis ihrer Mitglieder bestimmt. Für die staatsanwaltlichen Mitglieder gilt § 92 Absatz 5.</w:t>
      </w:r>
    </w:p>
    <w:p>
      <w:r>
        <w:rPr>
          <w:color w:val="555555"/>
          <w:sz w:val="17"/>
        </w:rPr>
        <w:t xml:space="preserve">Zitiervorschlag: § 35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