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BbgRiG (Brandenburg) — Bildung des Richterrats und der Stufenvertretungen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Es werden folgende Richterräte gebildet:</w:t>
      </w:r>
    </w:p>
    <w:p>
      <w:r>
        <w:t xml:space="preserve">ein Richterrat für jedes Gericht,</w:t>
      </w:r>
    </w:p>
    <w:p>
      <w:r>
        <w:t xml:space="preserve">ein Gesamtrichterrat für jeden Gerichtszweig bei den oberen Landesgerichten mit Ausnahme der Finanzgerichtsbarkeit,</w:t>
      </w:r>
    </w:p>
    <w:p>
      <w:r>
        <w:t xml:space="preserve">ein Hauptrichter- und Hauptstaatsanwaltsrat für alle Gerichtszweige und Staatsanwaltschaften bei der obersten Dienstbehörde; § 47 Absatz 6 Satz 2 gilt entsprechend.</w:t>
      </w:r>
    </w:p>
    <w:p>
      <w:r>
        <w:t xml:space="preserve">Die Aufgaben des Gesamtrichterrats für die Finanzgerichtsbarkeit nimmt der Richterrat bei dem Finanzgericht Berlin-Brandenburg wahr.</w:t>
      </w:r>
    </w:p>
    <w:p>
      <w:r>
        <w:rPr>
          <w:color w:val="555555"/>
          <w:sz w:val="17"/>
        </w:rPr>
        <w:t xml:space="preserve">Zitiervorschlag: § 33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