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31 BbgRiG (Brandenburg) — Kosten</w:t>
      </w:r>
    </w:p>
    <w:p>
      <w:r>
        <w:rPr>
          <w:color w:val="555555"/>
          <w:sz w:val="18"/>
        </w:rPr>
        <w:t xml:space="preserve">Brandenburgisches Richtergesetz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30.07.2026 (konsolidierte Textfassung, kein amtliches Inkrafttretensdatum)</w:t>
      </w:r>
    </w:p>
    <w:p>
      <w:r>
        <w:t xml:space="preserve">Die durch die Wahl und die Tätigkeit der Richtervertretungen entstehenden notwendigen Kosten trägt die Dienststelle, bei der die Richtervertretung gebildet ist; sie stellt erforderlichenfalls Räume und Geschäftsbedarf zur Verfügung.</w:t>
      </w:r>
    </w:p>
    <w:p>
      <w:r>
        <w:rPr>
          <w:color w:val="555555"/>
          <w:sz w:val="17"/>
        </w:rPr>
        <w:t xml:space="preserve">Zitiervorschlag: § 31 BbgRiG (Brandenburg)</w:t>
      </w:r>
    </w:p>
    <w:p>
      <w:r>
        <w:rPr>
          <w:color w:val="555555"/>
          <w:sz w:val="17"/>
        </w:rPr>
        <w:t xml:space="preserve">Quelle: BRAVORS, abgerufen 29.07.2026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https://recht.nulegal.eu/gesetze/BbgRiG/31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