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BbgRiG (Brandenburg) — Erlöschen der Mitgliedschaft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Mitgliedschaft in der Richtervertretung erlischt durch</w:t>
      </w:r>
    </w:p>
    <w:p>
      <w:r>
        <w:t xml:space="preserve">Niederlegung des Amtes,</w:t>
      </w:r>
    </w:p>
    <w:p>
      <w:r>
        <w:t xml:space="preserve">Beendigung des Richterverhältnisses,</w:t>
      </w:r>
    </w:p>
    <w:p>
      <w:r>
        <w:t xml:space="preserve">Ausscheiden aus dem Bereich, für den die Richtervertretung gebildet ist,</w:t>
      </w:r>
    </w:p>
    <w:p>
      <w:r>
        <w:t xml:space="preserve">Verlust der Wählbarkeit, soweit kein Fall des § 29 vorliegt,</w:t>
      </w:r>
    </w:p>
    <w:p>
      <w:r>
        <w:t xml:space="preserve">gerichtliche Feststellung, dass die oder der Gewählte nicht wählbar war,</w:t>
      </w:r>
    </w:p>
    <w:p>
      <w:r>
        <w:t xml:space="preserve">Ausschluss aufgrund gerichtlicher Entscheidung nach § 38 oder § 58.</w:t>
      </w:r>
    </w:p>
    <w:p>
      <w:r>
        <w:rPr>
          <w:color w:val="555555"/>
          <w:sz w:val="17"/>
        </w:rPr>
        <w:t xml:space="preserve">Zitiervorschlag: § 30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