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BbgRiG (Brandenburg) — Ruhen der Mitgliedschaft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Mitgliedschaft in der Richtervertretung ruht, solange die Führung der Amtsgeschäfte vorläufig untersagt ist oder die Richterin oder der Richter</w:t>
      </w:r>
    </w:p>
    <w:p>
      <w:r>
        <w:t xml:space="preserve">vorläufig des Dienstes enthoben ist,</w:t>
      </w:r>
    </w:p>
    <w:p>
      <w:r>
        <w:t xml:space="preserve">an eine Behörde abgeordnet ist,</w:t>
      </w:r>
    </w:p>
    <w:p>
      <w:r>
        <w:t xml:space="preserve">als Mitglied des Richterrats an ein anderes Gericht abgeordnet oder vorübergehend mit der Wahrnehmung der Dienstgeschäfte als Gerichtsvorstand oder als dessen ständige Vertreterin oder ständiger Vertreter beauftragt ist oder</w:t>
      </w:r>
    </w:p>
    <w:p>
      <w:r>
        <w:t xml:space="preserve">als Mitglied des Präsidialrats an ein Gericht eines anderen Gerichtszweigs abgeordnet ist.</w:t>
      </w:r>
    </w:p>
    <w:p>
      <w:r>
        <w:rPr>
          <w:color w:val="555555"/>
          <w:sz w:val="17"/>
        </w:rPr>
        <w:t xml:space="preserve">Zitiervorschlag: § 29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