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BbgRiG (Brandenburg) — Richterrat und Präsidialrat</w:t>
      </w:r>
    </w:p>
    <w:p>
      <w:r>
        <w:rPr>
          <w:color w:val="555555"/>
          <w:sz w:val="18"/>
        </w:rPr>
        <w:t xml:space="preserve">Brandenburgisches Richtergesetz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Als Richtervertretungen werden gebildet</w:t>
      </w:r>
    </w:p>
    <w:p>
      <w:r>
        <w:t xml:space="preserve">Richterräte als Personal- und Stufenvertretungen der Richterinnen und Richter in den Gerichten,</w:t>
      </w:r>
    </w:p>
    <w:p>
      <w:r>
        <w:t xml:space="preserve">Präsidialräte</w:t>
      </w:r>
    </w:p>
    <w:p>
      <w:r>
        <w:t xml:space="preserve">für die nach diesem Gesetz zugewiesenen Angelegenheiten.</w:t>
      </w:r>
    </w:p>
    <w:p>
      <w:r>
        <w:rPr>
          <w:color w:val="555555"/>
          <w:sz w:val="17"/>
        </w:rPr>
        <w:t xml:space="preserve">Zitiervorschlag: § 26 BbgRiG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https://recht.nulegal.eu/gesetze/BbgRiG/26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