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BbgRiG (Brandenburg) — Entschädigung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Richterwahlausschusses werden für ihre Tätigkeit nach den beamtenrechtlichen Bestimmungen des Reisekostenrechts entschädigt.</w:t>
      </w:r>
    </w:p>
    <w:p>
      <w:r>
        <w:t xml:space="preserve">(2) Die Sachkosten des Richterwahlausschusses trägt das Land.</w:t>
      </w:r>
    </w:p>
    <w:p>
      <w:r>
        <w:rPr>
          <w:color w:val="555555"/>
          <w:sz w:val="17"/>
        </w:rPr>
        <w:t xml:space="preserve">Zitiervorschlag: § 25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