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BbgRiG (Brandenburg) — Vorschlagslisten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die Vorschlagslisten nach § 12 Absatz 1 Satz 1 Nummer 2 aufzunehmenden Richterinnen und Richter werden von den auf Lebenszeit ernannten Richterinnen und Richtern, im Fall des § 12 Absatz 1 Satz 3 zweite Alternative von den auf Lebenszeit ernannten Richterinnen und Richtern des jeweiligen Gerichtszweigs gewählt. Für jedes zu wählende Mitglied müssen mindestens vier Personen vorgeschlagen werden.</w:t>
      </w:r>
    </w:p>
    <w:p>
      <w:r>
        <w:t xml:space="preserve">(2) Die in die Vorschlagsliste nach § 12 Absatz 1 Satz 1 Nummer 3 aufzunehmenden Rechtsanwältinnen und Rechtsanwälte werden nach näherer Regelung der Rechtsanwaltskammer in einer Kammerversammlung von den Rechtsanwältinnen und Rechtsanwälten gewählt, die im Land zugelassen sind. Absatz 1 Satz 2 gilt entsprechend.</w:t>
      </w:r>
    </w:p>
    <w:p>
      <w:r>
        <w:t xml:space="preserve">(3) Die in die Vorschlagsliste nach § 12 Absatz 1 Satz 3 erste Alternative aufzunehmenden Staatsanwältinnen und Staatsanwälte werden von den auf Lebenszeit ernannten Staatsanwältinnen und Staatsanwälten gewählt. Absatz 1 Satz 2 gilt entsprechend.</w:t>
      </w:r>
    </w:p>
    <w:p>
      <w:r>
        <w:rPr>
          <w:color w:val="555555"/>
          <w:sz w:val="17"/>
        </w:rPr>
        <w:t xml:space="preserve">Zitiervorschlag: § 15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BbgRiG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