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BbgRiG (Brandenburg) — Wahl des Richterwahlausschusses</w:t>
      </w:r>
    </w:p>
    <w:p>
      <w:r>
        <w:rPr>
          <w:color w:val="555555"/>
          <w:sz w:val="18"/>
        </w:rPr>
        <w:t xml:space="preserve">Brandenburgisches Richtergesetz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Der Landtag wählt zu ständigen Mitgliedern des Richterwahlausschusses</w:t>
      </w:r>
    </w:p>
    <w:p>
      <w:r>
        <w:t xml:space="preserve">acht Abgeordnete aufgrund von Vorschlägen aus der Mitte des Parlaments,</w:t>
      </w:r>
    </w:p>
    <w:p>
      <w:r>
        <w:t xml:space="preserve">zwei Personen aus der Richterschaft aus der Vorschlagsliste nach § 15 Absatz 1 Satz 1 erster Halbsatz,</w:t>
      </w:r>
    </w:p>
    <w:p>
      <w:r>
        <w:t xml:space="preserve">eine Person aus der Rechtsanwaltschaft aus der Vorschlagsliste nach § 15 Absatz 2 Satz 1.</w:t>
      </w:r>
    </w:p>
    <w:p>
      <w:r>
        <w:t xml:space="preserve">Für jedes ständige Mitglied ist eine Stellvertretung zu wählen. Darüber hinaus wählt er zu nichtständigen Mitgliedern des Richterwahlausschusses eine Person aus der Staatsanwaltschaft und ihre Stellvertretung aus der Vorschlagsliste nach § 15 Absatz 3 Satz 1 und je eine Richterin oder einen Richter der ordentlichen Gerichtsbarkeit, der Verwaltungs-, der Finanz-, der Arbeits- und der Sozialgerichtsbarkeit sowie deren Stellvertretung aus den Vorschlagslisten nach § 15 Absatz 1 Satz 1 zweiter Halbsatz. Im Richterwahlausschuss müssen alle Fraktionen vertreten sein.</w:t>
      </w:r>
    </w:p>
    <w:p>
      <w:r>
        <w:t xml:space="preserve">(2) Die Wahl jedes Mitglieds bedarf der Mehrheit der anwesenden Abgeordneten.</w:t>
      </w:r>
    </w:p>
    <w:p>
      <w:r>
        <w:rPr>
          <w:color w:val="555555"/>
          <w:sz w:val="17"/>
        </w:rPr>
        <w:t xml:space="preserve">Zitiervorschlag: § 12 BbgRiG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https://recht.nulegal.eu/gesetze/BbgRiG/12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