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BbgRiG (Brandenburg) — Geltungsbereich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für die Berufsrichterinnen und -richter im Dienst des Landes. Es gilt für ehrenamtliche Richterinnen und Richter sowie Staatsanwältinnen und Staatsanwälte, soweit dies besonders bestimmt ist.</w:t>
      </w:r>
    </w:p>
    <w:p>
      <w:r>
        <w:t xml:space="preserve">(2) Die Rechtsstellung der Mitglieder des Verfassungsgerichts des Landes Brandenburg bleibt unberührt.</w:t>
      </w:r>
    </w:p>
    <w:p>
      <w:r>
        <w:rPr>
          <w:color w:val="555555"/>
          <w:sz w:val="17"/>
        </w:rPr>
        <w:t xml:space="preserve">Zitiervorschlag: § 1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