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BbgRettG (Brandenburg) — Rettungsdienstbereiche</w:t>
      </w:r>
    </w:p>
    <w:p>
      <w:r>
        <w:rPr>
          <w:color w:val="555555"/>
          <w:sz w:val="18"/>
        </w:rPr>
        <w:t xml:space="preserve">Brandenburgisches Rettungsdienstgesetz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wird in Rettungsdienstbereiche, die mit den Gebieten der Landkreise und kreisfreien Städte deckungsgleich sind, unterteilt.</w:t>
      </w:r>
    </w:p>
    <w:p>
      <w:r>
        <w:t xml:space="preserve">(2) In allen Rettungsdienstbereichen sind die erforderlichen Rettungswachen, Notarztstandorte und sonstigen Einrichtungen des Rettungsdienstes sowie Rettungsfahrzeuge vorzuhalten.</w:t>
      </w:r>
    </w:p>
    <w:p>
      <w:r>
        <w:rPr>
          <w:color w:val="555555"/>
          <w:sz w:val="17"/>
        </w:rPr>
        <w:t xml:space="preserve">Zitiervorschlag: § 5 BbgRettG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https://recht.nulegal.eu/gesetze/BbgRettG/5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BbgRettG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