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BbgRettG (Brandenburg) — Institutionelle Gliederung</w:t>
      </w:r>
    </w:p>
    <w:p>
      <w:r>
        <w:rPr>
          <w:color w:val="555555"/>
          <w:sz w:val="18"/>
        </w:rPr>
        <w:t xml:space="preserve">Brandenburgisches Rettungsdienstgesetz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Rettungsdienst gliedert sich in den bodengebundenen Rettungsdienst und die Luftrettung.</w:t>
      </w:r>
    </w:p>
    <w:p>
      <w:r>
        <w:t xml:space="preserve">(2) Der bodengebundene Rettungsdienst sorgt für die Notfallrettung und den qualifizierten Krankentransport mit Kraftfahrzeugen.</w:t>
      </w:r>
    </w:p>
    <w:p>
      <w:r>
        <w:t xml:space="preserve">(3) Der Luftrettungsdienst unterstützt den bodengebundenen Rettungsdienst bei der Notfallrettung und sorgt im Bedarfsfall für den Interhospitaltransfer mit Rettungshubschraubern und Intensivhubschraubern.</w:t>
      </w:r>
    </w:p>
    <w:p>
      <w:r>
        <w:rPr>
          <w:color w:val="555555"/>
          <w:sz w:val="17"/>
        </w:rPr>
        <w:t xml:space="preserve">Zitiervorschlag: § 4 BbgRettG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https://recht.nulegal.eu/gesetze/BbgRettG/4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