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BbgRettG (Brandenburg) — Einschränkung von Grundrechten</w:t>
      </w:r>
    </w:p>
    <w:p>
      <w:r>
        <w:rPr>
          <w:color w:val="555555"/>
          <w:sz w:val="18"/>
        </w:rPr>
        <w:t xml:space="preserve">Brandenburgisches Rettungsdienstgesetz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Durch § 15 Absatz 3, § 19 und § 19a werden das Grundrecht auf informationelle Selbstbestimmung (Artikel 2 Absatz 1 in Verbindung mit Artikel 1 Absatz 1 des Grundgesetzes) sowie das Grundrecht auf Datenschutz (Artikel 11 Abs. 1 der Verfassung des Landes Brandenburg), durch §§ 10 und 14 wird das Grundrecht auf Berufsfreiheit (Artikel 49 Abs. 1 der Verfassung des Landes Brandenburg) eingeschränkt.</w:t>
      </w:r>
    </w:p>
    <w:p>
      <w:r>
        <w:rPr>
          <w:color w:val="555555"/>
          <w:sz w:val="17"/>
        </w:rPr>
        <w:t xml:space="preserve">Zitiervorschlag: § 22 BbgRettG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https://recht.nulegal.eu/gesetze/BbgRettG/22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