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BbgRettG (Brandenburg) — Bußgeldvorschriften</w:t>
      </w:r>
    </w:p>
    <w:p>
      <w:r>
        <w:rPr>
          <w:color w:val="555555"/>
          <w:sz w:val="18"/>
        </w:rPr>
        <w:t xml:space="preserve">Brandenburgisches Rettungsdienstgesetz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als nach § 10 beauftragter Dritter oder sonstiger Leistungserbringer vorsätzlich oder fahrlässig</w:t>
      </w:r>
    </w:p>
    <w:p>
      <w:r>
        <w:t xml:space="preserve">eine Bezeichnung entgegen § 2 Absatz 4 verwendet,</w:t>
      </w:r>
    </w:p>
    <w:p>
      <w:r>
        <w:t xml:space="preserve">Dritten unter Missachtung der Vorgaben des § 10 Aufgaben des Rettungsdienstes ganz oder teilweise überträgt,</w:t>
      </w:r>
    </w:p>
    <w:p>
      <w:r>
        <w:t xml:space="preserve">eine Notfallrettung oder einen ärztlich verordneten qualifizierten Krankentransport ohne eine vertragliche Grundlage im Sinne des § 10 Abs. 3 und 4 sowie außerhalb eines anhand der Festlegungen eines Rettungsdienstbereichsplanes zugewiesenen festgesetzten Einsatzbereiches betreibt,</w:t>
      </w:r>
    </w:p>
    <w:p>
      <w:r>
        <w:t xml:space="preserve">Rettungspersonal einsetzt, das nicht die nach diesem Gesetz erforderlichen fachlichen Anforderungen erfüllt.</w:t>
      </w:r>
    </w:p>
    <w:p>
      <w:r>
        <w:t xml:space="preserve">(2) Die Ordnungswidrigkeit kann für jede Übertretung mit einer Geldbuße bis zu 25 000 Euro geahndet werden.</w:t>
      </w:r>
    </w:p>
    <w:p>
      <w:r>
        <w:t xml:space="preserve">(3) Zuständige Behörde für die Ahndung von Ordnungswidrigkeiten ist der Träger des Rettungsdienstes.</w:t>
      </w:r>
    </w:p>
    <w:p>
      <w:r>
        <w:rPr>
          <w:color w:val="555555"/>
          <w:sz w:val="17"/>
        </w:rPr>
        <w:t xml:space="preserve">Zitiervorschlag: § 21 BbgRettG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https://recht.nulegal.eu/gesetze/BbgRettG/21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