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BbgRettG (Brandenburg) — Vergütung der Wasserrettungseinsätze</w:t>
      </w:r>
    </w:p>
    <w:p>
      <w:r>
        <w:rPr>
          <w:color w:val="555555"/>
          <w:sz w:val="18"/>
        </w:rPr>
        <w:t xml:space="preserve">Brandenburgisches Rettungsdienstgesetz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 nach § 2 Abs. 3 tätigen Organisationen oder privaten Dritten vereinbaren mit den Kostenträgern oder ihren Verbänden Kostensätze über die von ihnen zu erbringenden Leistungen. Eine Leistungspflicht der Kostenträger für diese Maßnahmen besteht nur, soweit</w:t>
      </w:r>
    </w:p>
    <w:p>
      <w:r>
        <w:t xml:space="preserve">ein Weitertransport zu einer Behandlungseinrichtung erforderlich wird oder</w:t>
      </w:r>
    </w:p>
    <w:p>
      <w:r>
        <w:t xml:space="preserve">die Leistung der Organisation oder des privaten Dritten von der integrierten Regionalleitstelle angefordert oder eine Notärztin oder ein Notarzt tätig wurde.</w:t>
      </w:r>
    </w:p>
    <w:p>
      <w:r>
        <w:rPr>
          <w:color w:val="555555"/>
          <w:sz w:val="17"/>
        </w:rPr>
        <w:t xml:space="preserve">Zitiervorschlag: § 18 BbgRettG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https://recht.nulegal.eu/gesetze/BbgRettG/18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