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BbgRettG (Brandenburg) — Anwendungsbereich</w:t>
      </w:r>
    </w:p>
    <w:p>
      <w:r>
        <w:rPr>
          <w:color w:val="555555"/>
          <w:sz w:val="18"/>
        </w:rPr>
        <w:t xml:space="preserve">Brandenburgisches Rettungsdienstgesetz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den Rettungsdienst im Land Brandenburg.</w:t>
      </w:r>
    </w:p>
    <w:p>
      <w:r>
        <w:t xml:space="preserve">(2) Die nachfolgenden Regelungen finden keine Anwendung auf</w:t>
      </w:r>
    </w:p>
    <w:p>
      <w:r>
        <w:t xml:space="preserve">die Sanitätsdienste der Bundeswehr, der Polizei und der Bun despolizei,</w:t>
      </w:r>
    </w:p>
    <w:p>
      <w:r>
        <w:t xml:space="preserve">die Beförderungen mit Krankenwagen der Krankenhäuser innerhalb eines Krankenhausbereiches und</w:t>
      </w:r>
    </w:p>
    <w:p>
      <w:r>
        <w:t xml:space="preserve">die Beförderungen von kranken und behinderten Personen, die keiner fachgerechten Betreuung durch den Rettungsdienst bedürfen (Krankenfahrten und Behindertentransport).</w:t>
      </w:r>
    </w:p>
    <w:p>
      <w:r>
        <w:rPr>
          <w:color w:val="555555"/>
          <w:sz w:val="17"/>
        </w:rPr>
        <w:t xml:space="preserve">Zitiervorschlag: § 1 BbgRettG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https://recht.nulegal.eu/gesetze/BbgRettG/1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BbgRettG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