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BbgRPflAV (Brandenburg) — Anwesenheitspflicht, Urlaub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Teilnahme an den Vorlesungen am Fachbereich Rechtspflege der Hochschule für Wirtschaft und Recht Berlin, den berufspraktischen Studienabschnitten und den sonstigen Lehrveranstaltungen besteht eine Anwesenheitspflicht.</w:t>
      </w:r>
    </w:p>
    <w:p>
      <w:r>
        <w:t xml:space="preserve">(2) Während der fachtheoretischen Studienabschnitte werden die von dem Fachbereich Rechtspflege der Hochschule für Wirtschaft und Recht Berlin bestimmten vorlesungsfreien Zeiten auf den Erholungsurlaub angerechnet. Darüber hinaus darf Erholungs- oder Sonderurlaub in der Regel nicht an Tagen mit Lehrveranstaltungen oder Leistungsnachweisen gewährt werden.</w:t>
      </w:r>
    </w:p>
    <w:p>
      <w:r>
        <w:t xml:space="preserve">(3) Zuständig für die Gewährung von Erholungs- und Sonderurlaub ist die Einstellungsbehörde.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