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BbgRPflAV (Brandenburg) — Inkrafttreten, Außerkrafttreten</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mit Wirkung vom 1. Oktober 2020 in Kraft. Gleichzeitig tritt die Brandenburgische Rechtspflegerausbildungsordnung vom 3. Februar 1994 (GVBl. II S. 74), die zuletzt durch die Verordnung vom 7. August 2006 (GVBl. II S. 306) geändert worden ist, außer Kraft.</w:t>
      </w:r>
    </w:p>
    <w:p>
      <w:r>
        <w:t xml:space="preserve">Einzelnorm</w:t>
      </w:r>
    </w:p>
    <w:p>
      <w:r>
        <w:t xml:space="preserve">Potsdam, den 8. Dezember 2020</w:t>
      </w:r>
    </w:p>
    <w:p>
      <w:r>
        <w:t xml:space="preserve">Die Ministerin der Justiz</w:t>
      </w:r>
    </w:p>
    <w:p>
      <w:r>
        <w:t xml:space="preserve">Susanne Hoffmann</w:t>
      </w:r>
    </w:p>
    <w:p>
      <w:r>
        <w:rPr>
          <w:color w:val="555555"/>
          <w:sz w:val="17"/>
        </w:rPr>
        <w:t xml:space="preserve">Zitiervorschlag: § 25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