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BbgRPflAV (Brandenburg) — Teilzeitbeschäftigung, Urlaub ohne Besoldung</w:t>
      </w:r>
    </w:p>
    <w:p>
      <w:r>
        <w:rPr>
          <w:color w:val="555555"/>
          <w:sz w:val="18"/>
        </w:rPr>
        <w:t xml:space="preserve">Rechtspflegerausbildungsverordnung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eine Teilzeitbeschäftigung oder eine Beurlaubung unter Wegfall der Besoldung aus familiären Gründen oder als Familienpflegezeit gelten § 80 Absatz 5 und § 80a Absatz 6 des Landesbeamtengesetzes.</w:t>
      </w:r>
    </w:p>
    <w:p>
      <w:r>
        <w:t xml:space="preserve">(2) Über die Bewilligung von Teilzeitbeschäftigung oder eine Beurlaubung unter Wegfall der Besoldung aus familiären Gründen oder als Familienpflegezeit nach Maßgabe von Absatz 1 entscheidet die Einstellungsbehörde; diese soll hierzu das Einvernehmen mit der Hochschule für Wirtschaft und Recht Berlin herstellen.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23 BbgRPflAV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https://recht.nulegal.eu/gesetze/BbgRPflAV/23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