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BbgRPflAV (Brandenburg) — Dritter Studienabschnitt (4. Semester)</w:t>
      </w:r>
    </w:p>
    <w:p>
      <w:r>
        <w:rPr>
          <w:color w:val="555555"/>
          <w:sz w:val="18"/>
        </w:rPr>
        <w:t xml:space="preserve">Rechtspflegerausbildungsverordnung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dritte Studienabschnitt im vierten Semester erstreckt sich auf die in § 7 Absatz 1 Nummer 4, 8 bis 10 und 13 bis 14 genannten Lehrgebiete.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10 BbgRPflAV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https://recht.nulegal.eu/gesetze/BbgRPflAV/10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